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74" w:rsidRPr="00651490" w:rsidRDefault="00A378C4" w:rsidP="00346C9A">
      <w:pPr>
        <w:pStyle w:val="titredocument"/>
        <w:rPr>
          <w:color w:val="C00000"/>
          <w:sz w:val="36"/>
          <w:szCs w:val="36"/>
          <w:u w:val="none"/>
        </w:rPr>
      </w:pPr>
      <w:r>
        <w:rPr>
          <w:color w:val="C00000"/>
          <w:sz w:val="36"/>
          <w:szCs w:val="36"/>
          <w:u w:val="none"/>
        </w:rPr>
        <w:t>Titre Times New R</w:t>
      </w:r>
      <w:r w:rsidR="008A538E">
        <w:rPr>
          <w:color w:val="C00000"/>
          <w:sz w:val="36"/>
          <w:szCs w:val="36"/>
          <w:u w:val="none"/>
        </w:rPr>
        <w:t>oman 18 points centré</w:t>
      </w:r>
      <w:r w:rsidR="00565666">
        <w:rPr>
          <w:color w:val="C00000"/>
          <w:sz w:val="36"/>
          <w:szCs w:val="36"/>
          <w:u w:val="none"/>
        </w:rPr>
        <w:t xml:space="preserve"> gras</w:t>
      </w:r>
      <w:r w:rsidR="008A538E">
        <w:rPr>
          <w:color w:val="C00000"/>
          <w:sz w:val="36"/>
          <w:szCs w:val="36"/>
          <w:u w:val="none"/>
        </w:rPr>
        <w:t>, couleur RVB 192 0 0</w:t>
      </w:r>
    </w:p>
    <w:p w:rsidR="00BD3DCF" w:rsidRDefault="008A538E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(on saute deux lignes times New roman 10 points)</w:t>
      </w:r>
    </w:p>
    <w:p w:rsidR="00346C9A" w:rsidRDefault="00346C9A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6D2F" w:rsidRPr="00651490" w:rsidRDefault="008A538E" w:rsidP="00346C9A">
      <w:pPr>
        <w:pStyle w:val="titrepara1"/>
        <w:jc w:val="both"/>
        <w:rPr>
          <w:color w:val="C00000"/>
        </w:rPr>
      </w:pPr>
      <w:r>
        <w:rPr>
          <w:color w:val="C00000"/>
        </w:rPr>
        <w:t>Titre partie Times New Roman 12 points, à gauche</w:t>
      </w:r>
      <w:r w:rsidR="00565666">
        <w:rPr>
          <w:color w:val="C00000"/>
        </w:rPr>
        <w:t xml:space="preserve"> gras</w:t>
      </w:r>
      <w:r>
        <w:rPr>
          <w:color w:val="C00000"/>
        </w:rPr>
        <w:t>, couleur RVB 192 0 0</w:t>
      </w:r>
    </w:p>
    <w:p w:rsidR="001D5E4B" w:rsidRPr="001D5E4B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(on saute une ligne times New Roman 5 points)</w:t>
      </w:r>
    </w:p>
    <w:p w:rsidR="008A538E" w:rsidRDefault="00A378C4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Texte Times New R</w:t>
      </w:r>
      <w:bookmarkStart w:id="0" w:name="_GoBack"/>
      <w:bookmarkEnd w:id="0"/>
      <w:r w:rsidR="008A538E">
        <w:rPr>
          <w:rFonts w:ascii="Times New Roman" w:hAnsi="Times New Roman" w:cs="Times New Roman"/>
          <w:sz w:val="20"/>
          <w:szCs w:val="20"/>
        </w:rPr>
        <w:t>oman 10 point</w:t>
      </w:r>
      <w:r w:rsidR="00565666">
        <w:rPr>
          <w:rFonts w:ascii="Times New Roman" w:hAnsi="Times New Roman" w:cs="Times New Roman"/>
          <w:sz w:val="20"/>
          <w:szCs w:val="20"/>
        </w:rPr>
        <w:t>s justifié, n</w:t>
      </w:r>
      <w:r w:rsidR="008A538E">
        <w:rPr>
          <w:rFonts w:ascii="Times New Roman" w:hAnsi="Times New Roman" w:cs="Times New Roman"/>
          <w:sz w:val="20"/>
          <w:szCs w:val="20"/>
        </w:rPr>
        <w:t>oir, début</w:t>
      </w:r>
      <w:r w:rsidR="00565666">
        <w:rPr>
          <w:rFonts w:ascii="Times New Roman" w:hAnsi="Times New Roman" w:cs="Times New Roman"/>
          <w:sz w:val="20"/>
          <w:szCs w:val="20"/>
        </w:rPr>
        <w:t xml:space="preserve"> paragraphe avec retrait de 1,27</w:t>
      </w:r>
      <w:r w:rsidR="008A538E">
        <w:rPr>
          <w:rFonts w:ascii="Times New Roman" w:hAnsi="Times New Roman" w:cs="Times New Roman"/>
          <w:sz w:val="20"/>
          <w:szCs w:val="20"/>
        </w:rPr>
        <w:t xml:space="preserve"> cm</w:t>
      </w:r>
    </w:p>
    <w:p w:rsidR="008A538E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Blablablabla 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</w:p>
    <w:p w:rsidR="008A538E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passe à la ligne pour un nouveau paragraphe sans sauter de ligne</w:t>
      </w:r>
    </w:p>
    <w:tbl>
      <w:tblPr>
        <w:tblStyle w:val="Grilledutableau"/>
        <w:tblpPr w:leftFromText="141" w:rightFromText="141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268"/>
      </w:tblGrid>
      <w:tr w:rsidR="008A538E" w:rsidTr="008A538E">
        <w:tc>
          <w:tcPr>
            <w:tcW w:w="1809" w:type="dxa"/>
          </w:tcPr>
          <w:p w:rsidR="008A538E" w:rsidRPr="00346C9A" w:rsidRDefault="008A538E" w:rsidP="008A5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9A">
              <w:rPr>
                <w:rFonts w:ascii="Times New Roman" w:hAnsi="Times New Roman" w:cs="Times New Roman"/>
                <w:b/>
                <w:sz w:val="20"/>
                <w:szCs w:val="20"/>
              </w:rPr>
              <w:t>Date d’utilisation</w:t>
            </w:r>
          </w:p>
        </w:tc>
        <w:tc>
          <w:tcPr>
            <w:tcW w:w="2410" w:type="dxa"/>
          </w:tcPr>
          <w:p w:rsidR="008A538E" w:rsidRPr="00346C9A" w:rsidRDefault="008A538E" w:rsidP="008A5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9A">
              <w:rPr>
                <w:rFonts w:ascii="Times New Roman" w:hAnsi="Times New Roman" w:cs="Times New Roman"/>
                <w:b/>
                <w:sz w:val="20"/>
                <w:szCs w:val="20"/>
              </w:rPr>
              <w:t>Lieu</w:t>
            </w:r>
          </w:p>
        </w:tc>
        <w:tc>
          <w:tcPr>
            <w:tcW w:w="2268" w:type="dxa"/>
          </w:tcPr>
          <w:p w:rsidR="008A538E" w:rsidRPr="00346C9A" w:rsidRDefault="008A538E" w:rsidP="008A5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9A">
              <w:rPr>
                <w:rFonts w:ascii="Times New Roman" w:hAnsi="Times New Roman" w:cs="Times New Roman"/>
                <w:b/>
                <w:sz w:val="20"/>
                <w:szCs w:val="20"/>
              </w:rPr>
              <w:t>Quantité déversée</w:t>
            </w:r>
          </w:p>
        </w:tc>
      </w:tr>
      <w:tr w:rsidR="008A538E" w:rsidTr="008A538E">
        <w:tc>
          <w:tcPr>
            <w:tcW w:w="1809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août 1914</w:t>
            </w:r>
          </w:p>
        </w:tc>
        <w:tc>
          <w:tcPr>
            <w:tcW w:w="2410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Secteur de Gerbillier et Baccarat</w:t>
            </w:r>
          </w:p>
        </w:tc>
        <w:tc>
          <w:tcPr>
            <w:tcW w:w="2268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fléchettes </w:t>
            </w:r>
          </w:p>
        </w:tc>
      </w:tr>
      <w:tr w:rsidR="008A538E" w:rsidTr="008A538E">
        <w:tc>
          <w:tcPr>
            <w:tcW w:w="1809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septembre 1914</w:t>
            </w:r>
          </w:p>
        </w:tc>
        <w:tc>
          <w:tcPr>
            <w:tcW w:w="2410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Bombardement sur Thiaucourt</w:t>
            </w:r>
          </w:p>
        </w:tc>
        <w:tc>
          <w:tcPr>
            <w:tcW w:w="2268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 fléchettes</w:t>
            </w:r>
          </w:p>
        </w:tc>
      </w:tr>
      <w:tr w:rsidR="008A538E" w:rsidTr="008A538E">
        <w:tc>
          <w:tcPr>
            <w:tcW w:w="1809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février 1915</w:t>
            </w:r>
          </w:p>
        </w:tc>
        <w:tc>
          <w:tcPr>
            <w:tcW w:w="2410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Bombardement du quartier général du Kronprinz impérial à Stenay</w:t>
            </w:r>
          </w:p>
        </w:tc>
        <w:tc>
          <w:tcPr>
            <w:tcW w:w="2268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 fléchettes</w:t>
            </w:r>
          </w:p>
        </w:tc>
      </w:tr>
      <w:tr w:rsidR="008A538E" w:rsidTr="008A538E">
        <w:trPr>
          <w:trHeight w:val="667"/>
        </w:trPr>
        <w:tc>
          <w:tcPr>
            <w:tcW w:w="1809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octobre 1915</w:t>
            </w:r>
          </w:p>
        </w:tc>
        <w:tc>
          <w:tcPr>
            <w:tcW w:w="2410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Bombardements à Vouziers et Challerange</w:t>
            </w:r>
          </w:p>
        </w:tc>
        <w:tc>
          <w:tcPr>
            <w:tcW w:w="2268" w:type="dxa"/>
          </w:tcPr>
          <w:p w:rsidR="008A538E" w:rsidRDefault="008A538E" w:rsidP="008A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 fléchettes</w:t>
            </w:r>
          </w:p>
        </w:tc>
      </w:tr>
    </w:tbl>
    <w:p w:rsidR="008A538E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Tableau sur la droite de préférence avec modèle ci-contre.</w:t>
      </w:r>
    </w:p>
    <w:p w:rsidR="008A538E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</w:p>
    <w:p w:rsidR="00FF7B1F" w:rsidRDefault="008A538E" w:rsidP="008A538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1" locked="0" layoutInCell="1" allowOverlap="1" wp14:anchorId="599F0DF0" wp14:editId="45E69890">
            <wp:simplePos x="0" y="0"/>
            <wp:positionH relativeFrom="column">
              <wp:posOffset>4219575</wp:posOffset>
            </wp:positionH>
            <wp:positionV relativeFrom="paragraph">
              <wp:posOffset>6985</wp:posOffset>
            </wp:positionV>
            <wp:extent cx="2519680" cy="1650365"/>
            <wp:effectExtent l="0" t="0" r="0" b="0"/>
            <wp:wrapTight wrapText="bothSides">
              <wp:wrapPolygon edited="0">
                <wp:start x="0" y="0"/>
                <wp:lineTo x="0" y="21442"/>
                <wp:lineTo x="21393" y="21442"/>
                <wp:lineTo x="2139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03_1915-PC-fléchettes-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Photos à droite avec 7 cm de large, callées sur le bord du texte à droite. 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8A53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</w:p>
    <w:p w:rsidR="00CD6D2F" w:rsidRDefault="00CD6D2F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C9A" w:rsidRDefault="008A538E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(on saute deux lignes Times New Roman 10 points entre deux parties)</w:t>
      </w:r>
    </w:p>
    <w:p w:rsidR="00CD6D2F" w:rsidRPr="00651490" w:rsidRDefault="00565666" w:rsidP="00346C9A">
      <w:pPr>
        <w:pStyle w:val="titrepara1"/>
        <w:jc w:val="both"/>
        <w:rPr>
          <w:color w:val="C00000"/>
        </w:rPr>
      </w:pPr>
      <w:r>
        <w:rPr>
          <w:color w:val="C00000"/>
        </w:rPr>
        <w:t>Titre deuxiè</w:t>
      </w:r>
      <w:r w:rsidR="008A538E">
        <w:rPr>
          <w:color w:val="C00000"/>
        </w:rPr>
        <w:t>me partie</w:t>
      </w:r>
    </w:p>
    <w:p w:rsidR="001D5E4B" w:rsidRPr="001D5E4B" w:rsidRDefault="001D5E4B" w:rsidP="00346C9A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A538E" w:rsidRDefault="008A538E" w:rsidP="008A538E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</w:p>
    <w:p w:rsidR="00565666" w:rsidRDefault="00565666" w:rsidP="008A538E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8A538E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8A538E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t>Marges du document obligatoires : 1,27 cm haut bas gauche droite (« marges étroites dans word)</w:t>
      </w:r>
    </w:p>
    <w:p w:rsidR="00565666" w:rsidRDefault="00565666" w:rsidP="008A538E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8A538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538E" w:rsidRDefault="008A538E" w:rsidP="008A538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(saut de page obligatoire pour</w:t>
      </w:r>
      <w:r w:rsidR="00A378C4">
        <w:rPr>
          <w:rFonts w:ascii="Times New Roman" w:hAnsi="Times New Roman" w:cs="Times New Roman"/>
          <w:sz w:val="20"/>
          <w:szCs w:val="20"/>
        </w:rPr>
        <w:t xml:space="preserve"> la deuxiè</w:t>
      </w:r>
      <w:r>
        <w:rPr>
          <w:rFonts w:ascii="Times New Roman" w:hAnsi="Times New Roman" w:cs="Times New Roman"/>
          <w:sz w:val="20"/>
          <w:szCs w:val="20"/>
        </w:rPr>
        <w:t>me page)</w:t>
      </w:r>
    </w:p>
    <w:p w:rsidR="00346C9A" w:rsidRDefault="00346C9A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13DAE" w:rsidRDefault="008A538E" w:rsidP="00346C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538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 w:rsidR="0021449F">
        <w:rPr>
          <w:rFonts w:ascii="Times New Roman" w:hAnsi="Times New Roman" w:cs="Times New Roman"/>
          <w:sz w:val="20"/>
          <w:szCs w:val="20"/>
        </w:rPr>
        <w:t>la terre.</w:t>
      </w:r>
    </w:p>
    <w:p w:rsidR="0030672E" w:rsidRDefault="0030672E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1490" w:rsidRDefault="00651490" w:rsidP="00346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672E" w:rsidRPr="00651490" w:rsidRDefault="00565666" w:rsidP="00346C9A">
      <w:pPr>
        <w:pStyle w:val="titrepara1"/>
        <w:jc w:val="both"/>
        <w:rPr>
          <w:color w:val="C00000"/>
        </w:rPr>
      </w:pPr>
      <w:r>
        <w:rPr>
          <w:color w:val="C00000"/>
        </w:rPr>
        <w:t>Troisiè</w:t>
      </w:r>
      <w:r w:rsidR="008A538E">
        <w:rPr>
          <w:color w:val="C00000"/>
        </w:rPr>
        <w:t>me partie</w:t>
      </w:r>
    </w:p>
    <w:p w:rsidR="001D5E4B" w:rsidRPr="001D5E4B" w:rsidRDefault="001D5E4B" w:rsidP="00346C9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A538E" w:rsidRDefault="008A538E" w:rsidP="00CB29B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</w:p>
    <w:p w:rsidR="00565666" w:rsidRDefault="008A538E" w:rsidP="00CB29B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Utiliser les fonctionnalités mathématiques des logiciels pour présenter les calculs le plus clairement possible en respectant </w: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fr-FR"/>
        </w:rPr>
        <w:pict>
          <v:group id="_x0000_s1027" editas="canvas" style="position:absolute;left:0;text-align:left;margin-left:448.45pt;margin-top:17.7pt;width:77.7pt;height:183.65pt;z-index:251686912;mso-position-horizontal-relative:text;mso-position-vertical-relative:text" coordorigin="9284,5226" coordsize="1554,36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9284;top:5226;width:1554;height:367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432;top:8475;width:629;height:0" o:connectortype="straight">
              <v:stroke endarrow="block"/>
            </v:shape>
            <v:shape id="_x0000_s1029" type="#_x0000_t32" style="position:absolute;left:9432;top:7869;width:1;height:606;flip:y" o:connectortype="straight">
              <v:stroke endarrow="block"/>
            </v:shape>
            <v:shape id="_x0000_s1030" type="#_x0000_t32" style="position:absolute;left:9432;top:8336;width:442;height:151;flip:y" o:connectortype="straight">
              <v:stroke endarrow="block"/>
            </v:shape>
            <v:shape id="_x0000_s1031" type="#_x0000_t32" style="position:absolute;left:9420;top:5468;width:12;height:3019;flip:x y" o:connectortype="straight">
              <v:stroke dashstyle="dash"/>
            </v:shape>
            <v:shape id="_x0000_s1032" type="#_x0000_t32" style="position:absolute;left:9420;top:5468;width:1188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350;top:6517;width:565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9571;top:8440;width:385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i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6" type="#_x0000_t202" style="position:absolute;left:9315;top:8001;width:385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k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7" type="#_x0000_t202" style="position:absolute;left:9746;top:8106;width:385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j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8" type="#_x0000_t202" style="position:absolute;left:9793;top:5433;width:384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vertAlign w:val="sub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9" type="#_x0000_t32" style="position:absolute;left:10305;top:6360;width:1;height:750" o:connectortype="straight">
              <v:stroke endarrow="block"/>
            </v:shape>
            <v:shape id="_x0000_s1040" type="#_x0000_t202" style="position:absolute;left:9973;top:6487;width:384;height:408" filled="f" stroked="f">
              <v:textbox>
                <w:txbxContent>
                  <w:p w:rsidR="008A538E" w:rsidRPr="001D7F1C" w:rsidRDefault="008A538E" w:rsidP="0018460E">
                    <w:pPr>
                      <w:rPr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g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w10:wrap type="square"/>
          </v:group>
        </w:pict>
      </w:r>
      <w:r w:rsidR="00565666">
        <w:rPr>
          <w:rFonts w:ascii="Times New Roman" w:hAnsi="Times New Roman" w:cs="Times New Roman"/>
          <w:sz w:val="20"/>
          <w:szCs w:val="20"/>
        </w:rPr>
        <w:t>les 10 points. Utiliser aussi l’aoutils « zone de graphique ou de dessin » pour faire des graphiques.</w:t>
      </w:r>
    </w:p>
    <w:p w:rsidR="00177F84" w:rsidRDefault="0018460E" w:rsidP="00346C9A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  <w:t>D’après la deuxième loi de Newton appliquée à la fléchette de masse m</w:t>
      </w:r>
      <w:r w:rsidR="00CB29B2">
        <w:rPr>
          <w:rFonts w:ascii="Times New Roman" w:eastAsiaTheme="minorEastAsia" w:hAnsi="Times New Roman" w:cs="Times New Roman"/>
          <w:sz w:val="20"/>
          <w:szCs w:val="20"/>
        </w:rPr>
        <w:t xml:space="preserve"> = 30 g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invariante,</w:t>
      </w:r>
    </w:p>
    <w:p w:rsidR="0018460E" w:rsidRPr="0018460E" w:rsidRDefault="0018460E" w:rsidP="00346C9A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ext</m:t>
                    </m:r>
                  </m:sub>
                </m:sSub>
              </m:e>
            </m:acc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0"/>
            <w:szCs w:val="20"/>
          </w:rPr>
          <m:t>=m.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acc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soit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acc>
      </m:oMath>
    </w:p>
    <w:p w:rsidR="00EF0A01" w:rsidRDefault="0018460E" w:rsidP="00346C9A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D’où</w:t>
      </w:r>
      <w:r w:rsidR="00CB29B2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̈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x(t)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̈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̈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(t)=-g</m:t>
                  </m:r>
                </m:e>
              </m:mr>
            </m:m>
          </m:e>
        </m:d>
      </m:oMath>
      <w:r w:rsidR="00EF0A01">
        <w:rPr>
          <w:rFonts w:ascii="Times New Roman" w:eastAsiaTheme="minorEastAsia" w:hAnsi="Times New Roman" w:cs="Times New Roman"/>
          <w:sz w:val="20"/>
          <w:szCs w:val="20"/>
        </w:rPr>
        <w:t xml:space="preserve"> avec l’orientation choisie. </w:t>
      </w:r>
    </w:p>
    <w:p w:rsidR="00CB29B2" w:rsidRDefault="00CB29B2" w:rsidP="00346C9A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Ainsi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(t)=-g×t+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EF0A01">
        <w:rPr>
          <w:rFonts w:ascii="Times New Roman" w:eastAsiaTheme="minorEastAsia" w:hAnsi="Times New Roman" w:cs="Times New Roman"/>
          <w:sz w:val="20"/>
          <w:szCs w:val="20"/>
        </w:rPr>
        <w:t xml:space="preserve"> Or, en t</w:t>
      </w:r>
      <w:r w:rsidR="00804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F0A01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804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F0A01">
        <w:rPr>
          <w:rFonts w:ascii="Times New Roman" w:eastAsiaTheme="minorEastAsia" w:hAnsi="Times New Roman" w:cs="Times New Roman"/>
          <w:sz w:val="20"/>
          <w:szCs w:val="20"/>
        </w:rPr>
        <w:t xml:space="preserve">0 particulièrement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(t=0)=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(t=0)=0=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t=0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=0=-g×0+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EF0A0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CB29B2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 w:rsidRPr="005656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blablablablabla blablablabla</w:t>
      </w: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t>Ne pas oublier à la fin de dire quelques mots obligtoirs sur la modélisation et sa validation et la critique du modele envisagé ou les compléments qu’il faudrait faire pour une étude plus poussée et/ou plus réaliste.</w:t>
      </w: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t>En fin de deuxième page :</w:t>
      </w:r>
    </w:p>
    <w:p w:rsid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t>On saute au moins une ligne times New Roman 10 points</w:t>
      </w:r>
    </w:p>
    <w:p w:rsidR="00565666" w:rsidRPr="00565666" w:rsidRDefault="00565666" w:rsidP="00565666">
      <w:pPr>
        <w:spacing w:after="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:rsidR="00CB29B2" w:rsidRPr="00651490" w:rsidRDefault="00CB29B2" w:rsidP="00CB29B2">
      <w:pPr>
        <w:spacing w:after="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651490">
        <w:rPr>
          <w:rFonts w:ascii="Times New Roman" w:eastAsiaTheme="minorEastAsia" w:hAnsi="Times New Roman" w:cs="Times New Roman"/>
          <w:i/>
          <w:sz w:val="16"/>
          <w:szCs w:val="16"/>
        </w:rPr>
        <w:t>Auteur</w:t>
      </w:r>
      <w:r w:rsidR="00565666">
        <w:rPr>
          <w:rFonts w:ascii="Times New Roman" w:eastAsiaTheme="minorEastAsia" w:hAnsi="Times New Roman" w:cs="Times New Roman"/>
          <w:i/>
          <w:sz w:val="16"/>
          <w:szCs w:val="16"/>
        </w:rPr>
        <w:t xml:space="preserve"> (italique Times New Roman 8 points)</w:t>
      </w:r>
      <w:r w:rsidRPr="00651490">
        <w:rPr>
          <w:rFonts w:ascii="Times New Roman" w:eastAsiaTheme="minorEastAsia" w:hAnsi="Times New Roman" w:cs="Times New Roman"/>
          <w:sz w:val="16"/>
          <w:szCs w:val="16"/>
        </w:rPr>
        <w:t> : Florian Audouin, 2015</w:t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 xml:space="preserve"> (8 points Times New Roman)</w:t>
      </w:r>
    </w:p>
    <w:p w:rsidR="00CB29B2" w:rsidRPr="00651490" w:rsidRDefault="00CB29B2" w:rsidP="00CB29B2">
      <w:pPr>
        <w:spacing w:after="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651490">
        <w:rPr>
          <w:rFonts w:ascii="Times New Roman" w:eastAsiaTheme="minorEastAsia" w:hAnsi="Times New Roman" w:cs="Times New Roman"/>
          <w:i/>
          <w:sz w:val="16"/>
          <w:szCs w:val="16"/>
        </w:rPr>
        <w:t>Sources</w:t>
      </w:r>
      <w:r>
        <w:rPr>
          <w:rFonts w:ascii="Times New Roman" w:eastAsiaTheme="minorEastAsia" w:hAnsi="Times New Roman" w:cs="Times New Roman"/>
          <w:sz w:val="16"/>
          <w:szCs w:val="16"/>
        </w:rPr>
        <w:tab/>
      </w:r>
      <w:r w:rsidRPr="00651490">
        <w:rPr>
          <w:rFonts w:ascii="Times New Roman" w:eastAsiaTheme="minorEastAsia" w:hAnsi="Times New Roman" w:cs="Times New Roman"/>
          <w:sz w:val="16"/>
          <w:szCs w:val="16"/>
        </w:rPr>
        <w:t>Chronique de Graoully n°18 – Mai 2008</w:t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ab/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ab/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ab/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ab/>
      </w:r>
      <w:r w:rsidR="00565666">
        <w:rPr>
          <w:rFonts w:ascii="Times New Roman" w:eastAsiaTheme="minorEastAsia" w:hAnsi="Times New Roman" w:cs="Times New Roman"/>
          <w:sz w:val="16"/>
          <w:szCs w:val="16"/>
        </w:rPr>
        <w:tab/>
        <w:t>idem, les titres de livre sont en italique</w:t>
      </w:r>
    </w:p>
    <w:p w:rsidR="00CB29B2" w:rsidRPr="00651490" w:rsidRDefault="00CB29B2" w:rsidP="00CB29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651490">
        <w:rPr>
          <w:rFonts w:ascii="Times New Roman" w:eastAsiaTheme="minorEastAsia" w:hAnsi="Times New Roman" w:cs="Times New Roman"/>
          <w:sz w:val="16"/>
          <w:szCs w:val="16"/>
        </w:rPr>
        <w:t xml:space="preserve">Adrienne Thomas, </w:t>
      </w:r>
      <w:r w:rsidRPr="00651490">
        <w:rPr>
          <w:rFonts w:ascii="Times New Roman" w:eastAsiaTheme="minorEastAsia" w:hAnsi="Times New Roman" w:cs="Times New Roman"/>
          <w:i/>
          <w:sz w:val="16"/>
          <w:szCs w:val="16"/>
        </w:rPr>
        <w:t>Catherine soldat</w:t>
      </w:r>
    </w:p>
    <w:p w:rsidR="00CB29B2" w:rsidRPr="00651490" w:rsidRDefault="00CB29B2" w:rsidP="00CB29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651490">
        <w:rPr>
          <w:rFonts w:ascii="Times New Roman" w:eastAsiaTheme="minorEastAsia" w:hAnsi="Times New Roman" w:cs="Times New Roman"/>
          <w:sz w:val="16"/>
          <w:szCs w:val="16"/>
        </w:rPr>
        <w:t xml:space="preserve">Blogs personnels : </w:t>
      </w:r>
    </w:p>
    <w:p w:rsidR="00CB29B2" w:rsidRPr="00651490" w:rsidRDefault="008A538E" w:rsidP="00CB29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  <w:hyperlink r:id="rId8" w:history="1">
        <w:r w:rsidR="00CB29B2" w:rsidRPr="00651490">
          <w:rPr>
            <w:rStyle w:val="Lienhypertexte"/>
            <w:rFonts w:ascii="Times New Roman" w:eastAsiaTheme="minorEastAsia" w:hAnsi="Times New Roman" w:cs="Times New Roman"/>
            <w:color w:val="auto"/>
            <w:sz w:val="16"/>
            <w:szCs w:val="16"/>
            <w:u w:val="none"/>
          </w:rPr>
          <w:t>http://metog.caius.homeip.net/ww1.htm</w:t>
        </w:r>
      </w:hyperlink>
      <w:r w:rsidR="00CB29B2" w:rsidRPr="00651490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:rsidR="00CB29B2" w:rsidRPr="00651490" w:rsidRDefault="00CB29B2" w:rsidP="00CB29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651490">
        <w:rPr>
          <w:rFonts w:ascii="Times New Roman" w:eastAsiaTheme="minorEastAsia" w:hAnsi="Times New Roman" w:cs="Times New Roman"/>
          <w:sz w:val="16"/>
          <w:szCs w:val="16"/>
        </w:rPr>
        <w:t>http://aetdebesancon.blog.lemonde.fr/2015/03/08/des-armes-meconnues-les-flechettes-pour-avions-en-1914-1915/</w:t>
      </w:r>
    </w:p>
    <w:p w:rsidR="00177F84" w:rsidRPr="00651490" w:rsidRDefault="00CB29B2" w:rsidP="00385CA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51490">
        <w:rPr>
          <w:rFonts w:ascii="Times New Roman" w:eastAsiaTheme="minorEastAsia" w:hAnsi="Times New Roman" w:cs="Times New Roman"/>
          <w:sz w:val="16"/>
          <w:szCs w:val="16"/>
        </w:rPr>
        <w:t>Histoire de l’aviation na</w:t>
      </w:r>
      <w:r>
        <w:rPr>
          <w:rFonts w:ascii="Times New Roman" w:eastAsiaTheme="minorEastAsia" w:hAnsi="Times New Roman" w:cs="Times New Roman"/>
          <w:sz w:val="16"/>
          <w:szCs w:val="16"/>
        </w:rPr>
        <w:t>vale</w:t>
      </w:r>
      <w:r w:rsidRPr="00651490">
        <w:rPr>
          <w:rFonts w:ascii="Times New Roman" w:eastAsiaTheme="minorEastAsia" w:hAnsi="Times New Roman" w:cs="Times New Roman"/>
          <w:sz w:val="16"/>
          <w:szCs w:val="16"/>
        </w:rPr>
        <w:t xml:space="preserve"> : </w:t>
      </w:r>
      <w:hyperlink r:id="rId9" w:history="1">
        <w:r w:rsidRPr="00651490">
          <w:rPr>
            <w:rStyle w:val="Lienhypertexte"/>
            <w:rFonts w:ascii="Times New Roman" w:eastAsiaTheme="minorEastAsia" w:hAnsi="Times New Roman" w:cs="Times New Roman"/>
            <w:color w:val="auto"/>
            <w:sz w:val="16"/>
            <w:szCs w:val="16"/>
            <w:u w:val="none"/>
          </w:rPr>
          <w:t>http://www.aeronavale-porteavions.com/viewtopic.php?f=71&amp;t=2201</w:t>
        </w:r>
      </w:hyperlink>
    </w:p>
    <w:sectPr w:rsidR="00177F84" w:rsidRPr="00651490" w:rsidSect="00CE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10" w:rsidRDefault="00845310" w:rsidP="00FC2A07">
      <w:pPr>
        <w:spacing w:after="0" w:line="240" w:lineRule="auto"/>
      </w:pPr>
      <w:r>
        <w:separator/>
      </w:r>
    </w:p>
  </w:endnote>
  <w:endnote w:type="continuationSeparator" w:id="0">
    <w:p w:rsidR="00845310" w:rsidRDefault="00845310" w:rsidP="00FC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10" w:rsidRDefault="00845310" w:rsidP="00FC2A07">
      <w:pPr>
        <w:spacing w:after="0" w:line="240" w:lineRule="auto"/>
      </w:pPr>
      <w:r>
        <w:separator/>
      </w:r>
    </w:p>
  </w:footnote>
  <w:footnote w:type="continuationSeparator" w:id="0">
    <w:p w:rsidR="00845310" w:rsidRDefault="00845310" w:rsidP="00FC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DCF"/>
    <w:rsid w:val="0005548F"/>
    <w:rsid w:val="00055CC0"/>
    <w:rsid w:val="00064A4B"/>
    <w:rsid w:val="0008213D"/>
    <w:rsid w:val="000B42EE"/>
    <w:rsid w:val="00113ADE"/>
    <w:rsid w:val="00137C74"/>
    <w:rsid w:val="00177F84"/>
    <w:rsid w:val="0018460E"/>
    <w:rsid w:val="001B4C8C"/>
    <w:rsid w:val="001D5736"/>
    <w:rsid w:val="001D5E4B"/>
    <w:rsid w:val="001D7F1C"/>
    <w:rsid w:val="0021449F"/>
    <w:rsid w:val="002543B2"/>
    <w:rsid w:val="002E0014"/>
    <w:rsid w:val="0030672E"/>
    <w:rsid w:val="00346C9A"/>
    <w:rsid w:val="00362D9C"/>
    <w:rsid w:val="00385CA3"/>
    <w:rsid w:val="00405BE4"/>
    <w:rsid w:val="004447F5"/>
    <w:rsid w:val="00445ECF"/>
    <w:rsid w:val="0045404A"/>
    <w:rsid w:val="004B66E4"/>
    <w:rsid w:val="00532CFA"/>
    <w:rsid w:val="0054734B"/>
    <w:rsid w:val="00565666"/>
    <w:rsid w:val="005842A9"/>
    <w:rsid w:val="00592657"/>
    <w:rsid w:val="005A61E7"/>
    <w:rsid w:val="00651490"/>
    <w:rsid w:val="006660F9"/>
    <w:rsid w:val="006965A5"/>
    <w:rsid w:val="006E030C"/>
    <w:rsid w:val="00734D2C"/>
    <w:rsid w:val="0076326F"/>
    <w:rsid w:val="007C39A0"/>
    <w:rsid w:val="007E017C"/>
    <w:rsid w:val="007F7327"/>
    <w:rsid w:val="00800FFA"/>
    <w:rsid w:val="008048CE"/>
    <w:rsid w:val="0081026D"/>
    <w:rsid w:val="00813AD0"/>
    <w:rsid w:val="00845310"/>
    <w:rsid w:val="0086416A"/>
    <w:rsid w:val="00873BEA"/>
    <w:rsid w:val="00895458"/>
    <w:rsid w:val="008A538E"/>
    <w:rsid w:val="008A7B59"/>
    <w:rsid w:val="00936B30"/>
    <w:rsid w:val="00943484"/>
    <w:rsid w:val="009652D6"/>
    <w:rsid w:val="009E0677"/>
    <w:rsid w:val="009F6EA8"/>
    <w:rsid w:val="00A378C4"/>
    <w:rsid w:val="00AA3AD8"/>
    <w:rsid w:val="00AA4571"/>
    <w:rsid w:val="00BA523F"/>
    <w:rsid w:val="00BD3DCF"/>
    <w:rsid w:val="00C10135"/>
    <w:rsid w:val="00C50171"/>
    <w:rsid w:val="00CB29B2"/>
    <w:rsid w:val="00CD6D2F"/>
    <w:rsid w:val="00CE7A8B"/>
    <w:rsid w:val="00D06553"/>
    <w:rsid w:val="00D122E2"/>
    <w:rsid w:val="00D169BA"/>
    <w:rsid w:val="00D17D46"/>
    <w:rsid w:val="00D37A56"/>
    <w:rsid w:val="00D6596C"/>
    <w:rsid w:val="00E150BC"/>
    <w:rsid w:val="00E76750"/>
    <w:rsid w:val="00EC0CCF"/>
    <w:rsid w:val="00EE0920"/>
    <w:rsid w:val="00EF0A01"/>
    <w:rsid w:val="00F13DAE"/>
    <w:rsid w:val="00F4641D"/>
    <w:rsid w:val="00FA523C"/>
    <w:rsid w:val="00FA57F3"/>
    <w:rsid w:val="00FC06CF"/>
    <w:rsid w:val="00FC2A07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9"/>
        <o:r id="V:Rule5" type="connector" idref="#_x0000_s1031"/>
        <o:r id="V:Rule6" type="connector" idref="#_x0000_s1032"/>
      </o:rules>
    </o:shapelayout>
  </w:shapeDefaults>
  <w:decimalSymbol w:val=","/>
  <w:listSeparator w:val=";"/>
  <w15:docId w15:val="{0B75CFC3-B93E-4E10-9E50-1138E0C3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">
    <w:name w:val="titre document"/>
    <w:basedOn w:val="Normal"/>
    <w:link w:val="titredocumentCar"/>
    <w:qFormat/>
    <w:rsid w:val="00CE7A8B"/>
    <w:pPr>
      <w:spacing w:after="0"/>
      <w:jc w:val="center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FC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documentCar">
    <w:name w:val="titre document Car"/>
    <w:basedOn w:val="Policepardfaut"/>
    <w:link w:val="titredocument"/>
    <w:rsid w:val="00CE7A8B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repara2">
    <w:name w:val="titre para 2"/>
    <w:basedOn w:val="Normal"/>
    <w:link w:val="titrepara2Car"/>
    <w:qFormat/>
    <w:rsid w:val="00CE7A8B"/>
    <w:pPr>
      <w:spacing w:after="0"/>
      <w:ind w:firstLine="708"/>
    </w:pPr>
    <w:rPr>
      <w:rFonts w:ascii="Times New Roman" w:hAnsi="Times New Roman" w:cs="Times New Roman"/>
      <w:b/>
    </w:rPr>
  </w:style>
  <w:style w:type="character" w:customStyle="1" w:styleId="En-tteCar">
    <w:name w:val="En-tête Car"/>
    <w:basedOn w:val="Policepardfaut"/>
    <w:link w:val="En-tte"/>
    <w:uiPriority w:val="99"/>
    <w:rsid w:val="00FC2A07"/>
  </w:style>
  <w:style w:type="paragraph" w:customStyle="1" w:styleId="titrepara1">
    <w:name w:val="titre para 1"/>
    <w:basedOn w:val="Normal"/>
    <w:link w:val="titrepara1Car"/>
    <w:qFormat/>
    <w:rsid w:val="00C50171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titrepara2Car">
    <w:name w:val="titre para 2 Car"/>
    <w:basedOn w:val="Policepardfaut"/>
    <w:link w:val="titrepara2"/>
    <w:rsid w:val="00CE7A8B"/>
    <w:rPr>
      <w:rFonts w:ascii="Times New Roman" w:hAnsi="Times New Roman" w:cs="Times New Roman"/>
      <w:b/>
    </w:rPr>
  </w:style>
  <w:style w:type="paragraph" w:customStyle="1" w:styleId="titrepara3">
    <w:name w:val="titre para 3"/>
    <w:basedOn w:val="Normal"/>
    <w:link w:val="titrepara3Car"/>
    <w:qFormat/>
    <w:rsid w:val="00873BEA"/>
    <w:pPr>
      <w:spacing w:after="0"/>
      <w:ind w:left="708" w:firstLine="708"/>
    </w:pPr>
    <w:rPr>
      <w:rFonts w:ascii="Times New Roman" w:hAnsi="Times New Roman" w:cs="Times New Roman"/>
      <w:b/>
      <w:sz w:val="20"/>
      <w:szCs w:val="20"/>
    </w:rPr>
  </w:style>
  <w:style w:type="character" w:customStyle="1" w:styleId="titrepara1Car">
    <w:name w:val="titre para 1 Car"/>
    <w:basedOn w:val="Policepardfaut"/>
    <w:link w:val="titrepara1"/>
    <w:rsid w:val="00C50171"/>
    <w:rPr>
      <w:rFonts w:ascii="Times New Roman" w:hAnsi="Times New Roman" w:cs="Times New Roman"/>
      <w:b/>
      <w:sz w:val="24"/>
      <w:szCs w:val="24"/>
    </w:rPr>
  </w:style>
  <w:style w:type="paragraph" w:customStyle="1" w:styleId="titrepara4">
    <w:name w:val="titre para 4"/>
    <w:basedOn w:val="Normal"/>
    <w:link w:val="titrepara4Car"/>
    <w:qFormat/>
    <w:rsid w:val="00873BEA"/>
    <w:pPr>
      <w:spacing w:after="0"/>
      <w:ind w:left="1416" w:firstLine="708"/>
    </w:pPr>
    <w:rPr>
      <w:rFonts w:ascii="Times New Roman" w:hAnsi="Times New Roman" w:cs="Times New Roman"/>
      <w:i/>
      <w:sz w:val="20"/>
      <w:szCs w:val="20"/>
    </w:rPr>
  </w:style>
  <w:style w:type="character" w:customStyle="1" w:styleId="titrepara3Car">
    <w:name w:val="titre para 3 Car"/>
    <w:basedOn w:val="Policepardfaut"/>
    <w:link w:val="titrepara3"/>
    <w:rsid w:val="00873BEA"/>
    <w:rPr>
      <w:rFonts w:ascii="Times New Roman" w:hAnsi="Times New Roman" w:cs="Times New Roman"/>
      <w:b/>
      <w:sz w:val="20"/>
      <w:szCs w:val="20"/>
    </w:rPr>
  </w:style>
  <w:style w:type="paragraph" w:customStyle="1" w:styleId="corpstexte">
    <w:name w:val="corps texte"/>
    <w:basedOn w:val="Normal"/>
    <w:link w:val="corpstexteCar"/>
    <w:qFormat/>
    <w:rsid w:val="00873BEA"/>
    <w:pPr>
      <w:spacing w:after="0"/>
      <w:ind w:firstLine="708"/>
    </w:pPr>
    <w:rPr>
      <w:rFonts w:ascii="Times New Roman" w:hAnsi="Times New Roman" w:cs="Times New Roman"/>
      <w:sz w:val="20"/>
      <w:szCs w:val="20"/>
    </w:rPr>
  </w:style>
  <w:style w:type="character" w:customStyle="1" w:styleId="titrepara4Car">
    <w:name w:val="titre para 4 Car"/>
    <w:basedOn w:val="Policepardfaut"/>
    <w:link w:val="titrepara4"/>
    <w:rsid w:val="00873BEA"/>
    <w:rPr>
      <w:rFonts w:ascii="Times New Roman" w:hAnsi="Times New Roman" w:cs="Times New Roman"/>
      <w:i/>
      <w:sz w:val="20"/>
      <w:szCs w:val="20"/>
    </w:rPr>
  </w:style>
  <w:style w:type="character" w:customStyle="1" w:styleId="corpstexteCar">
    <w:name w:val="corps texte Car"/>
    <w:basedOn w:val="Policepardfaut"/>
    <w:link w:val="corpstexte"/>
    <w:rsid w:val="00873BEA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C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07"/>
  </w:style>
  <w:style w:type="paragraph" w:styleId="Textedebulles">
    <w:name w:val="Balloon Text"/>
    <w:basedOn w:val="Normal"/>
    <w:link w:val="TextedebullesCar"/>
    <w:uiPriority w:val="99"/>
    <w:semiHidden/>
    <w:unhideWhenUsed/>
    <w:rsid w:val="00FC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77F8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77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g.caius.homeip.net/ww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ronavale-porteavions.com/viewtopic.php?f=71&amp;t=22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\Desktop\modele-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878B-D4DC-4656-884A-A8E9E8E4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modele-word.dotx</Template>
  <TotalTime>24</TotalTime>
  <Pages>2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6</cp:revision>
  <cp:lastPrinted>2015-10-25T19:47:00Z</cp:lastPrinted>
  <dcterms:created xsi:type="dcterms:W3CDTF">2015-10-25T18:38:00Z</dcterms:created>
  <dcterms:modified xsi:type="dcterms:W3CDTF">2015-10-25T19:48:00Z</dcterms:modified>
</cp:coreProperties>
</file>